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536"/>
        <w:tblW w:w="15701" w:type="dxa"/>
        <w:tblCellMar>
          <w:left w:w="70" w:type="dxa"/>
          <w:right w:w="70" w:type="dxa"/>
        </w:tblCellMar>
        <w:tblLook w:val="0000"/>
      </w:tblPr>
      <w:tblGrid>
        <w:gridCol w:w="674"/>
        <w:gridCol w:w="3991"/>
        <w:gridCol w:w="794"/>
        <w:gridCol w:w="10242"/>
      </w:tblGrid>
      <w:tr w:rsidR="00643D65" w:rsidRPr="00643D65" w:rsidTr="00077178">
        <w:trPr>
          <w:trHeight w:val="432"/>
        </w:trPr>
        <w:tc>
          <w:tcPr>
            <w:tcW w:w="15701" w:type="dxa"/>
            <w:gridSpan w:val="4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 1.1.2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9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Liczba pkt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Projekt zakłada rozwój firmy w jednej z poniższych kategorii: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świadczącej usługi noclegowe,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świadczącej usługi gastronomiczne,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wypożyczalnię sprzętu sportowo-rekreacyjnego,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oferującej usługi dla seniorów,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usługi z zakresu działalności rehabilitacyjnej,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obiekt rekreacyjny.</w:t>
            </w:r>
          </w:p>
        </w:tc>
        <w:tc>
          <w:tcPr>
            <w:tcW w:w="794" w:type="dxa"/>
          </w:tcPr>
          <w:p w:rsidR="00077178" w:rsidRPr="00643D65" w:rsidRDefault="00446DFB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Wskazano zakresy działalności zdiagnozowane w Lokalnej Strategii Rozwoju jako kluczowe dla rozwoju i wykorzystania potencjału obszaru objętego LSR. Weryfikacja nastąpi w oparciu o informacje zawarte  we wniosku o dofinansowanie. 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planowania działalność wpisuje się w kategorie punktowane w ramach kryterium. 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Aby otrzymać punkty konieczne jest wykazanie, że jedna z preferowanych kategorii będzie </w:t>
            </w:r>
            <w:r w:rsidRPr="00643D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główną, dominującą działalnością wnioskodawcy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(punktów nie uzyska wnioskodawca, który np. planuje otworzyć warsztat mechaniczny i argumentuje, że będzie w nim świadczyć usługi dla seniorów, gdyś są oni klientami warsztatu).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Planowany koszt stworzenia miejsca pracy jest niższy niż w przypadku innych projektów w naborze.</w:t>
            </w:r>
          </w:p>
        </w:tc>
        <w:tc>
          <w:tcPr>
            <w:tcW w:w="794" w:type="dxa"/>
          </w:tcPr>
          <w:p w:rsidR="00077178" w:rsidRPr="00643D65" w:rsidRDefault="00077178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Weryfikacja w oparciu o informacje zawarte we wniosku o dofinansowanie oraz danych zebranych przez LGD w ramach naboru. Badany będzie planowany przez Wnioskodawcę w dniu złożenia wniosku koszt w oparciu o kwotę wnioskowanego dofinansowania. Na ocenę nie ma wpływu całkowita wartość projektu oraz korekty kwot rekomendowane przez LGD.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Przeliczenie: kwota wnioskowanego dofinansowania zostanie podzielona przez liczbę stanowisk zaplanowanych w ramach operacji (w przeliczeniu na 1 etat).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A wynosi 150 tys. złotych, a w ramach operacji powstaną stanowiska pracy w łącznym wymiarze czasu pracy 2 etatów. 150.000/2 = koszt jednego miejsca pracy wynosi 75.000 zł.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B wynosi 150 tys. złotych, w ramach operacji zaplanowano stworzenie stanowisk pracy o łącznym wymiarze 1,25 etatu = koszt jednego miejsca pracy wynosi 120.000 zł,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C wynosi 90 tys. złotych, a w ramach operacji zaplanowano 1 miejsce pracy w wymiarze pełnego etatu = koszt jednego miejsca pracy wynosi 90.000 zł.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Maksymalną liczbę punktów (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) uzyska operacja, w ramach której zaproponowano najniższy koszt jednego miejsca pracy w danym naborze. Kolejne operacje otrzymają liczbę punktów wyliczoną w następujący sposób: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Liczba punktów = (najniższy koszt jednego miejsca pracy/koszt jednego miejsca pra</w:t>
            </w:r>
            <w:r w:rsidR="00446DFB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cy w ramach danego wniosku) x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Liczbę punktów podaje się z dokładnością dwóch miejsc po przecinku, przy zastosowaniu matematycznych zasad zaokrągleń.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Punktacja w przypadku przykładowych wniosków opisanych powyżej (przy założeniu, że są to jedyne projekty, które wpłynęły w ramach naboru do LGD) wyniesie: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– projekt A (najniższy koszt miejsca pracy: 75.000 zł),</w:t>
            </w:r>
          </w:p>
          <w:p w:rsidR="00077178" w:rsidRPr="00643D65" w:rsidRDefault="008C5BA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C ([75.000/90.000] x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12,499999999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, po zaokrągleniu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pkt),</w:t>
            </w:r>
          </w:p>
          <w:p w:rsidR="008C5BA8" w:rsidRPr="00643D65" w:rsidRDefault="008C5BA8" w:rsidP="008C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9,38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B ([75.000/120.000] x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9,375</w:t>
            </w:r>
            <w:r w:rsidR="00446DFB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pkt, 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po zaokrągleniu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9,38 pkt),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umożliwia efektywne wykorzystanie budżetu LSR przez preferowanie operacji, w których stosunek nakładów do efektów jest najbardziej korzystny. Zachęca wnioskodawców do zwiększania liczby tworzonych miejsc pracy (kryterium obowiązkowe w ramach PROW 2014-2020) i/lub ograniczania wysokości pomocy ze środków LSR, przez zwiększenie udziału własnego wnioskodawcy. Odpowiada na główną potrzebę obszaru – konieczność tworzenia nowych miejsc pracy i wpływa na wartość dodaną w ramach wskaźnika rezultatu w ramach celu szczegółowego 1.1.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Projekt zakłada wprowadzenie na rynek lokalny produktu/usługi niedostępnej w ciągu ostatnich 12 miesięcy:</w:t>
            </w:r>
          </w:p>
          <w:p w:rsidR="00446DFB" w:rsidRPr="00643D65" w:rsidRDefault="00446DFB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brak informacji: 0 pkt.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na terenie co najmniej danej gminy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077178" w:rsidRPr="00643D65" w:rsidRDefault="00077178" w:rsidP="008C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na terenie całego powiatu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794" w:type="dxa"/>
          </w:tcPr>
          <w:p w:rsidR="00077178" w:rsidRPr="00643D65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</w:t>
            </w:r>
            <w:r w:rsidR="00981E31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rte we wniosku o dofinansowanie </w:t>
            </w:r>
            <w:r w:rsidR="00981E31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  <w:r w:rsidR="00263C3C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1E31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oświadczeniu</w:t>
            </w:r>
            <w:r w:rsidR="00981E31" w:rsidRPr="00643D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W celu zachowania elastyczności kryterium oraz równych szans w dostępie do środków, LGD nie zamyka listy rodzajów produktów i usług innowacyjnych. Zadaniem Wnioskodawcy będzie szczegółowo opisać element innowacyjny ze wskazaniem wyników analizy rynku lokalnego wskazującej na zasięg innowacyjności oraz uzasadnić w jaki sposób wpłynie to na realizację celów opisywanego projektu.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Kryterium rozłączne, punkty nie sumują się, do zdobycia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Wnioskodawca posiada siedzibę na obszarze LGD lub dodatkowe miejsce prowadzenia działalności gospodarczej  zgłoszone co najmniej 12 miesięcy przed dniem złożenia wniosku.</w:t>
            </w:r>
          </w:p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178" w:rsidRPr="00643D65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0 lub 2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adres zgłoszenia siedziby firmy lub dodatkowego miejsca prowadzenia działalności gospodarczej.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złą sytuację na rynku pracy na obszarze LSR oraz postulaty zgłaszane w  procesie konsultacji społecznych, dotyczące preferowania firm działających na obszarze LSR co najmniej rok. Pozwoli na wsparcie przedsiębiorstw, które mają doświadczenie biznesowe na obszarze objętym LSR.</w:t>
            </w:r>
          </w:p>
        </w:tc>
      </w:tr>
      <w:bookmarkEnd w:id="0"/>
    </w:tbl>
    <w:p w:rsidR="00A25920" w:rsidRPr="00E8203D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71A80" w:rsidRDefault="00B71A80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709"/>
        <w:gridCol w:w="3970"/>
        <w:gridCol w:w="709"/>
        <w:gridCol w:w="10347"/>
      </w:tblGrid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uwzględnił i opisał działania w ramach projektu dotyczące wykorzystania metod i/lub narzędzi z zakresu ochrony  środowiska, przeciwdziałania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zmianom klimatu.</w:t>
            </w: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  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spełniania kryterium).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nie zalegał z opłaceniem kosztów prowadzenia działalności gospodarczej w ciągu 3 miesięcy przed dniem złożenia wniosku.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we wniosku o dofinansowanie wskazuje na spełnienie kryterium i obowiązkowo załącza do wniosku stosowne dokumenty: aktualne, urzędowe zaświadczenia o niezaleganiu  z płatnościami wydane przez właściwy Urząd Skarbowy, oddział Zakładu Ubezpieczeń Społecznych i właściwy Urząd Miasta/Gminy ( w zakresie podatku od nieruchomości i ewentualnych innych zobowiązań finansowych wnioskodawcy wobec gminy). W przypadku wskazania przez Wnioskodawcę spełnienia kryterium, jednak niezałączenia stosownych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dokumentów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do wniosku o dofinansowanie, punkty w ramach kryterium nie zostaną przyznane.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premiowanie wnioskodawców, którzy rzetelnie uiszczają opłaty związane z prowadzoną działalnością gospodarczą na rzecz Skarbu Państwa.</w:t>
            </w:r>
          </w:p>
        </w:tc>
      </w:tr>
      <w:tr w:rsidR="00077178" w:rsidRPr="006F35E8" w:rsidTr="00077178">
        <w:trPr>
          <w:trHeight w:val="2070"/>
        </w:trPr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jest podmiotem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6F3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Podmiotem ekonomii społecznej w rozumieniu niniejszego kryterium są: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Krajowego Rejestru Sądowego (wykonany w ciągu 3 miesięcy przed dniem złożenia wniosku o przyznanie pomocy). Dokument powinien zawierać datę rozpoczęcia prowadzenia działalności gospodarczej.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 Poradniku dla LGD, wspiera sektor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rPr>
          <w:trHeight w:val="930"/>
        </w:trPr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przewidział wniesienie wkładu własnego na poziomie wyższym niż wymagany w regulaminie naboru: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pow. 10 do 20 punktów procentowych – 10 pkt.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pow. 20 punktów procentowych – 20 pkt.</w:t>
            </w:r>
          </w:p>
        </w:tc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lub 20</w:t>
            </w:r>
          </w:p>
        </w:tc>
        <w:tc>
          <w:tcPr>
            <w:tcW w:w="10347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Wkład własny jest rozumiany jako kwota pozostała po odjęciu od łącznej wartości kosztów kwalifikowanych kwoty wnioskowanego dofinansowania. Weryfikacja nastąpi w oparciu o informacje zawarte we wniosku o dofinansowanie. Kryterium zostanie uznane za spełnione: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 w pkt 1. w sytuacji, jeśli Wnioskodawca zadeklaruje wniesienie wkładu własnego na poziomie minimum 40,1% kosztów kwalifikowanych operacji (30% wkładu obowiązkowego oraz co najmniej 10,1 punktów procentowych wkładu własnego powyżej minimum) do 50% kosztów kwalifikowanych operacji (wymagane 30% i 20 punktów procentowych dodatkowo),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 pkt 2. w sytuacji, jeśli Wnioskodawca zadeklaruje wkład własny na poziomie powyżej 50% kosztów kwalifikowanych) operacji.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Przykład: Wnioskodawca w budżecie projektu przewidział konieczność poniesienia kosztów kwalifikowalnych na łączną kwotę 200 tys. zł, a wnosi o dofinansowanie w wysokości 100 tys. zł. Oznacz to, że wkład własny wyniesie 100 tys. zł, czyli 50% kosztów kwalifikowalnych operacji. Operacja taka otrzyma 10 punktów. Gdyby wysokość wkładu własnego została zwiększona (przy tych samych kosztach kwalifikowanych wnioskodawca wystąpiłby o pomoc w wysokości 90.000 zł), operacja otrzymałaby 20 punktów.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 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efektywne wykorzystanie budżetu LSR, poprzez zachęcanie wnioskodawców do wnoszenia wkładu własnego na poziomie wyższym niż wymagany. Kryterium rekomendowane w ramach PROW 2014-2020.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/>
        </w:tblPrEx>
        <w:trPr>
          <w:trHeight w:val="3750"/>
        </w:trPr>
        <w:tc>
          <w:tcPr>
            <w:tcW w:w="709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uczestniczył w doradztwie indywidualnym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w biurze LGD</w:t>
            </w:r>
            <w:r w:rsidR="008C5BA8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 i/lub </w:t>
            </w:r>
            <w:r w:rsidR="00446DFB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na obszarze LSR </w:t>
            </w:r>
            <w:r w:rsidR="00263C3C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i/lub w szkoleniach LGD zorganizowanych w ramach naboru.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263C3C" w:rsidRPr="0053670F" w:rsidRDefault="008C010D" w:rsidP="00263C3C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C01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Wnioskodawca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otrzyma maksymalną liczbę punktów za korzystanie z doradztwa w biurze LGD</w:t>
            </w:r>
            <w:r w:rsidR="008C5BA8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 i/lub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</w:t>
            </w:r>
            <w:r w:rsidR="00E75140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z doradztwa 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 obszarze LSR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w szkoleniach LGD </w:t>
            </w:r>
            <w:r w:rsidR="00263C3C" w:rsidRPr="0053670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zorganizowanych w ramach 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naboru.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wsparcia utworzony w biurze LGD. Obowiązkiem Wnioskodawcy jest złożenie podpisu na odpowiednim dokumencie (liście obecności podczas szkolenia i/lub w rejestrze doradztwa), jako dowodu na skorzystanie ze wsparcia.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 przypadku stwierdzenia, że wnioskodawca pomimo wskazania na uzyskanie wsparcia  nie figuruje na liście obecności szkoleń i/lub w rejestrze doradztwa zrealizowanych w ramach naboru, w którym został złożony wniosek, punkty nie zostaną przyznane.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 i analizie SWOT: niewystarczające kwalifikacje mieszkańców i wysoki poziom skomplikowania przepisów, biurokrację. Przyczyni się do zwiększenia zainteresowania wnioskodawców. Wsparciem szkoleniowym i doradczym LGD oraz poprawy jakości składanych wniosków.</w:t>
            </w: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4679" w:type="dxa"/>
            <w:gridSpan w:val="2"/>
            <w:shd w:val="pct20" w:color="auto" w:fill="auto"/>
          </w:tcPr>
          <w:p w:rsidR="00077178" w:rsidRPr="006F35E8" w:rsidRDefault="00077178" w:rsidP="00E45A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077178" w:rsidRDefault="00077178">
      <w:pPr>
        <w:rPr>
          <w:sz w:val="18"/>
          <w:szCs w:val="18"/>
        </w:rPr>
      </w:pPr>
    </w:p>
    <w:p w:rsidR="00077178" w:rsidRPr="00E8203D" w:rsidRDefault="00077178">
      <w:pPr>
        <w:rPr>
          <w:sz w:val="18"/>
          <w:szCs w:val="18"/>
        </w:rPr>
      </w:pPr>
    </w:p>
    <w:sectPr w:rsidR="00077178" w:rsidRPr="00E8203D" w:rsidSect="000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D2" w:rsidRDefault="00F273D2" w:rsidP="00280FEF">
      <w:pPr>
        <w:spacing w:after="0" w:line="240" w:lineRule="auto"/>
      </w:pPr>
      <w:r>
        <w:separator/>
      </w:r>
    </w:p>
  </w:endnote>
  <w:endnote w:type="continuationSeparator" w:id="0">
    <w:p w:rsidR="00F273D2" w:rsidRDefault="00F273D2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0F7250" w:rsidRDefault="001B12BD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F864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D2" w:rsidRDefault="00F273D2" w:rsidP="00280FEF">
      <w:pPr>
        <w:spacing w:after="0" w:line="240" w:lineRule="auto"/>
      </w:pPr>
      <w:r>
        <w:separator/>
      </w:r>
    </w:p>
  </w:footnote>
  <w:footnote w:type="continuationSeparator" w:id="0">
    <w:p w:rsidR="00F273D2" w:rsidRDefault="00F273D2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8" w:rsidRDefault="00D60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4688840</wp:posOffset>
          </wp:positionH>
          <wp:positionV relativeFrom="margin">
            <wp:posOffset>-1123950</wp:posOffset>
          </wp:positionV>
          <wp:extent cx="504825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5682615</wp:posOffset>
          </wp:positionH>
          <wp:positionV relativeFrom="margin">
            <wp:posOffset>-1152525</wp:posOffset>
          </wp:positionV>
          <wp:extent cx="9525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3679190</wp:posOffset>
          </wp:positionH>
          <wp:positionV relativeFrom="margin">
            <wp:posOffset>-1057275</wp:posOffset>
          </wp:positionV>
          <wp:extent cx="504825" cy="5048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margin">
            <wp:posOffset>2555240</wp:posOffset>
          </wp:positionH>
          <wp:positionV relativeFrom="margin">
            <wp:posOffset>-1057275</wp:posOffset>
          </wp:positionV>
          <wp:extent cx="657225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Pr="00C47B38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 w:rsidR="00031D25">
      <w:rPr>
        <w:rFonts w:ascii="Arial" w:hAnsi="Arial" w:cs="Arial"/>
        <w:sz w:val="13"/>
        <w:szCs w:val="13"/>
      </w:rPr>
      <w:t>.</w:t>
    </w:r>
    <w:r>
      <w:rPr>
        <w:rFonts w:ascii="Arial" w:hAnsi="Arial" w:cs="Arial"/>
        <w:sz w:val="13"/>
        <w:szCs w:val="13"/>
      </w:rPr>
      <w:t>”</w:t>
    </w:r>
  </w:p>
  <w:p w:rsidR="00D601A2" w:rsidRDefault="00D601A2">
    <w:pPr>
      <w:pStyle w:val="Nagwek"/>
    </w:pPr>
  </w:p>
  <w:p w:rsidR="00D601A2" w:rsidRDefault="00D601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A80"/>
    <w:rsid w:val="00003444"/>
    <w:rsid w:val="00031D25"/>
    <w:rsid w:val="00077178"/>
    <w:rsid w:val="000952FE"/>
    <w:rsid w:val="000B12FB"/>
    <w:rsid w:val="000C6C12"/>
    <w:rsid w:val="000D4EFE"/>
    <w:rsid w:val="000F7250"/>
    <w:rsid w:val="00104BEF"/>
    <w:rsid w:val="00112CE2"/>
    <w:rsid w:val="001157E6"/>
    <w:rsid w:val="00136595"/>
    <w:rsid w:val="00190B88"/>
    <w:rsid w:val="001B0C18"/>
    <w:rsid w:val="001B12BD"/>
    <w:rsid w:val="00201200"/>
    <w:rsid w:val="0023003C"/>
    <w:rsid w:val="00252275"/>
    <w:rsid w:val="00263C3C"/>
    <w:rsid w:val="00280FEF"/>
    <w:rsid w:val="00286CEB"/>
    <w:rsid w:val="00287081"/>
    <w:rsid w:val="002A4BA4"/>
    <w:rsid w:val="002C14B7"/>
    <w:rsid w:val="00303A5D"/>
    <w:rsid w:val="00324F79"/>
    <w:rsid w:val="00371AF2"/>
    <w:rsid w:val="00381803"/>
    <w:rsid w:val="00384BEB"/>
    <w:rsid w:val="003D6C16"/>
    <w:rsid w:val="0041000D"/>
    <w:rsid w:val="00440AE0"/>
    <w:rsid w:val="00446DFB"/>
    <w:rsid w:val="0045428E"/>
    <w:rsid w:val="00537C92"/>
    <w:rsid w:val="00561760"/>
    <w:rsid w:val="005719D9"/>
    <w:rsid w:val="005A7912"/>
    <w:rsid w:val="006003AD"/>
    <w:rsid w:val="00643D65"/>
    <w:rsid w:val="00646EE2"/>
    <w:rsid w:val="00664CE1"/>
    <w:rsid w:val="006657A5"/>
    <w:rsid w:val="006762CB"/>
    <w:rsid w:val="006A6D3E"/>
    <w:rsid w:val="00757CFD"/>
    <w:rsid w:val="00764D01"/>
    <w:rsid w:val="007A22E7"/>
    <w:rsid w:val="007B211A"/>
    <w:rsid w:val="007C564A"/>
    <w:rsid w:val="007E13E7"/>
    <w:rsid w:val="007F0FB3"/>
    <w:rsid w:val="007F5A8B"/>
    <w:rsid w:val="0080020B"/>
    <w:rsid w:val="00806201"/>
    <w:rsid w:val="00830698"/>
    <w:rsid w:val="00832878"/>
    <w:rsid w:val="00832D7C"/>
    <w:rsid w:val="008422C2"/>
    <w:rsid w:val="00853C2A"/>
    <w:rsid w:val="00897B50"/>
    <w:rsid w:val="008C010D"/>
    <w:rsid w:val="008C25C0"/>
    <w:rsid w:val="008C5BA8"/>
    <w:rsid w:val="008E5498"/>
    <w:rsid w:val="00914CE1"/>
    <w:rsid w:val="009339CC"/>
    <w:rsid w:val="00981E31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94401"/>
    <w:rsid w:val="00AB2307"/>
    <w:rsid w:val="00AB2848"/>
    <w:rsid w:val="00AF3E6B"/>
    <w:rsid w:val="00B271B7"/>
    <w:rsid w:val="00B71A80"/>
    <w:rsid w:val="00B93452"/>
    <w:rsid w:val="00B943CA"/>
    <w:rsid w:val="00C13978"/>
    <w:rsid w:val="00C73D23"/>
    <w:rsid w:val="00CA5DB1"/>
    <w:rsid w:val="00CB4A1F"/>
    <w:rsid w:val="00CC3CFF"/>
    <w:rsid w:val="00CF7801"/>
    <w:rsid w:val="00D21299"/>
    <w:rsid w:val="00D440EB"/>
    <w:rsid w:val="00D601A2"/>
    <w:rsid w:val="00D929BD"/>
    <w:rsid w:val="00DB4B1A"/>
    <w:rsid w:val="00DD05BC"/>
    <w:rsid w:val="00E11B6B"/>
    <w:rsid w:val="00E425CC"/>
    <w:rsid w:val="00E75140"/>
    <w:rsid w:val="00E8203D"/>
    <w:rsid w:val="00E97514"/>
    <w:rsid w:val="00EA0401"/>
    <w:rsid w:val="00EA1C38"/>
    <w:rsid w:val="00EB0EF0"/>
    <w:rsid w:val="00F02462"/>
    <w:rsid w:val="00F20054"/>
    <w:rsid w:val="00F273D2"/>
    <w:rsid w:val="00F4018D"/>
    <w:rsid w:val="00F86428"/>
    <w:rsid w:val="00FB2397"/>
    <w:rsid w:val="00FC5B76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1072-F30E-462D-BC09-F25C4D3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2016-11-02T13:18:00Z</cp:lastPrinted>
  <dcterms:created xsi:type="dcterms:W3CDTF">2017-04-11T08:50:00Z</dcterms:created>
  <dcterms:modified xsi:type="dcterms:W3CDTF">2017-04-11T08:50:00Z</dcterms:modified>
</cp:coreProperties>
</file>